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A1" w:rsidRDefault="00FB3C78" w:rsidP="009E13B6">
      <w:pPr>
        <w:spacing w:after="240"/>
        <w:jc w:val="center"/>
        <w:rPr>
          <w:sz w:val="22"/>
        </w:rPr>
      </w:pPr>
      <w:r w:rsidRPr="00C12C4A">
        <w:rPr>
          <w:b/>
          <w:sz w:val="22"/>
          <w:u w:val="single"/>
        </w:rPr>
        <w:t>Grundsätze für die Beschaffung der Wahlunterlagen</w:t>
      </w:r>
      <w:r w:rsidR="00AA51BC" w:rsidRPr="00C12C4A">
        <w:rPr>
          <w:b/>
          <w:sz w:val="22"/>
          <w:u w:val="single"/>
        </w:rPr>
        <w:t xml:space="preserve"> </w:t>
      </w:r>
      <w:bookmarkStart w:id="0" w:name="_GoBack"/>
      <w:bookmarkEnd w:id="0"/>
      <w:r w:rsidR="00AA51BC" w:rsidRPr="00C12C4A">
        <w:rPr>
          <w:b/>
          <w:sz w:val="22"/>
          <w:u w:val="single"/>
        </w:rPr>
        <w:br/>
      </w:r>
      <w:r w:rsidR="00AA51BC" w:rsidRPr="00C12C4A">
        <w:rPr>
          <w:sz w:val="22"/>
        </w:rPr>
        <w:t>(Landtags-/Bezirkswahlen, Volksentscheide, Bundestags-/Europawahlen)</w:t>
      </w:r>
      <w:r w:rsidR="00910D68" w:rsidRPr="00C12C4A">
        <w:rPr>
          <w:sz w:val="22"/>
        </w:rPr>
        <w:br/>
      </w:r>
      <w:r w:rsidR="00724384" w:rsidRPr="00C12C4A">
        <w:rPr>
          <w:sz w:val="22"/>
        </w:rPr>
        <w:t xml:space="preserve">(Anlage zur </w:t>
      </w:r>
      <w:r w:rsidR="00F71FD1" w:rsidRPr="00C12C4A">
        <w:rPr>
          <w:sz w:val="22"/>
        </w:rPr>
        <w:t xml:space="preserve">jeweiligen </w:t>
      </w:r>
      <w:r w:rsidR="00724384" w:rsidRPr="00C12C4A">
        <w:rPr>
          <w:sz w:val="22"/>
        </w:rPr>
        <w:t xml:space="preserve">Übersicht über den Bedarf an Wahlunterlagen/Vordrucken = </w:t>
      </w:r>
      <w:r w:rsidR="00C12C4A">
        <w:rPr>
          <w:sz w:val="22"/>
        </w:rPr>
        <w:br/>
      </w:r>
      <w:r w:rsidR="00724384" w:rsidRPr="00C12C4A">
        <w:rPr>
          <w:sz w:val="22"/>
          <w:u w:val="single"/>
        </w:rPr>
        <w:t>Vordruckübersicht</w:t>
      </w:r>
      <w:r w:rsidR="00724384" w:rsidRPr="00C12C4A">
        <w:rPr>
          <w:sz w:val="22"/>
        </w:rPr>
        <w:t>)</w:t>
      </w:r>
    </w:p>
    <w:p w:rsidR="009E13B6" w:rsidRDefault="009E13B6" w:rsidP="009E13B6">
      <w:pPr>
        <w:spacing w:after="120"/>
        <w:jc w:val="center"/>
        <w:rPr>
          <w:sz w:val="22"/>
        </w:rPr>
      </w:pPr>
    </w:p>
    <w:p w:rsidR="00C55BFF" w:rsidRDefault="00C55BFF" w:rsidP="009E13B6">
      <w:pPr>
        <w:spacing w:after="120"/>
        <w:jc w:val="center"/>
        <w:rPr>
          <w:sz w:val="22"/>
        </w:rPr>
      </w:pPr>
    </w:p>
    <w:p w:rsidR="00C55BFF" w:rsidRPr="00C12C4A" w:rsidRDefault="00C55BFF" w:rsidP="009E13B6">
      <w:pPr>
        <w:spacing w:after="120"/>
        <w:jc w:val="center"/>
        <w:rPr>
          <w:sz w:val="22"/>
        </w:rPr>
      </w:pPr>
    </w:p>
    <w:p w:rsidR="00336638" w:rsidRPr="00C12C4A" w:rsidRDefault="00336638" w:rsidP="009E13B6">
      <w:pPr>
        <w:pStyle w:val="Listenabsatz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sz w:val="22"/>
        </w:rPr>
      </w:pPr>
      <w:r w:rsidRPr="00C12C4A">
        <w:rPr>
          <w:sz w:val="22"/>
          <w:u w:val="single"/>
        </w:rPr>
        <w:t>Verbindlichkeit</w:t>
      </w:r>
    </w:p>
    <w:p w:rsidR="00E320D2" w:rsidRPr="00C12C4A" w:rsidRDefault="00E320D2" w:rsidP="00910D68">
      <w:pPr>
        <w:spacing w:after="120"/>
        <w:rPr>
          <w:sz w:val="22"/>
        </w:rPr>
      </w:pPr>
      <w:r w:rsidRPr="00C12C4A">
        <w:rPr>
          <w:sz w:val="22"/>
        </w:rPr>
        <w:t xml:space="preserve">Die in der </w:t>
      </w:r>
      <w:r w:rsidR="00522AA1" w:rsidRPr="00C12C4A">
        <w:rPr>
          <w:sz w:val="22"/>
        </w:rPr>
        <w:t>Vordruckü</w:t>
      </w:r>
      <w:r w:rsidRPr="00C12C4A">
        <w:rPr>
          <w:sz w:val="22"/>
        </w:rPr>
        <w:t>bersicht bezeichneten Muster sind für Inhalt, Gliederung, Aufbau und Reihenfolge der Zahlenangaben</w:t>
      </w:r>
      <w:r w:rsidR="00B16311" w:rsidRPr="00C12C4A">
        <w:rPr>
          <w:sz w:val="22"/>
        </w:rPr>
        <w:t xml:space="preserve"> grundsätzlich</w:t>
      </w:r>
      <w:r w:rsidRPr="00C12C4A">
        <w:rPr>
          <w:sz w:val="22"/>
        </w:rPr>
        <w:t xml:space="preserve"> verbindlich</w:t>
      </w:r>
      <w:r w:rsidR="00B16311" w:rsidRPr="00C12C4A">
        <w:rPr>
          <w:sz w:val="22"/>
        </w:rPr>
        <w:t xml:space="preserve">; ergänzend </w:t>
      </w:r>
      <w:r w:rsidR="00910D68" w:rsidRPr="00C12C4A">
        <w:rPr>
          <w:sz w:val="22"/>
        </w:rPr>
        <w:t>sind</w:t>
      </w:r>
      <w:r w:rsidR="00B16311" w:rsidRPr="00C12C4A">
        <w:rPr>
          <w:sz w:val="22"/>
        </w:rPr>
        <w:t xml:space="preserve"> </w:t>
      </w:r>
      <w:r w:rsidR="00C12C4A" w:rsidRPr="00C12C4A">
        <w:rPr>
          <w:sz w:val="22"/>
        </w:rPr>
        <w:t xml:space="preserve">die Hinweise in der Vordruckübersicht (letzte Spalte), </w:t>
      </w:r>
      <w:r w:rsidR="00B16311" w:rsidRPr="00C12C4A">
        <w:rPr>
          <w:sz w:val="22"/>
        </w:rPr>
        <w:t>das „Hinweisblatt“ des S</w:t>
      </w:r>
      <w:r w:rsidR="00910D68" w:rsidRPr="00C12C4A">
        <w:rPr>
          <w:sz w:val="22"/>
        </w:rPr>
        <w:t>t</w:t>
      </w:r>
      <w:r w:rsidR="00B16311" w:rsidRPr="00C12C4A">
        <w:rPr>
          <w:sz w:val="22"/>
        </w:rPr>
        <w:t>MI zu den Mustern für Wahlbenachrichtigung/</w:t>
      </w:r>
      <w:r w:rsidR="00C12C4A" w:rsidRPr="00C12C4A">
        <w:rPr>
          <w:sz w:val="22"/>
        </w:rPr>
        <w:t xml:space="preserve"> </w:t>
      </w:r>
      <w:r w:rsidR="00B16311" w:rsidRPr="00C12C4A">
        <w:rPr>
          <w:sz w:val="22"/>
        </w:rPr>
        <w:t>Wahlscheinantrag</w:t>
      </w:r>
      <w:r w:rsidR="00910D68" w:rsidRPr="00C12C4A">
        <w:rPr>
          <w:sz w:val="22"/>
        </w:rPr>
        <w:t xml:space="preserve"> </w:t>
      </w:r>
      <w:r w:rsidR="00B16311" w:rsidRPr="00C12C4A">
        <w:rPr>
          <w:sz w:val="22"/>
        </w:rPr>
        <w:t xml:space="preserve">und </w:t>
      </w:r>
      <w:r w:rsidR="00C12C4A" w:rsidRPr="00C12C4A">
        <w:rPr>
          <w:sz w:val="22"/>
        </w:rPr>
        <w:t xml:space="preserve">ggf. </w:t>
      </w:r>
      <w:r w:rsidR="00B16311" w:rsidRPr="00C12C4A">
        <w:rPr>
          <w:sz w:val="22"/>
        </w:rPr>
        <w:t>die Fußnoten in den jeweiligen Vordruckmustern</w:t>
      </w:r>
      <w:r w:rsidR="00C12C4A" w:rsidRPr="00C12C4A">
        <w:rPr>
          <w:sz w:val="22"/>
        </w:rPr>
        <w:t xml:space="preserve"> zu beachten</w:t>
      </w:r>
      <w:r w:rsidR="00B16311" w:rsidRPr="00C12C4A">
        <w:rPr>
          <w:sz w:val="22"/>
        </w:rPr>
        <w:t>.</w:t>
      </w:r>
      <w:r w:rsidRPr="00C12C4A">
        <w:rPr>
          <w:sz w:val="22"/>
        </w:rPr>
        <w:t xml:space="preserve"> Die beauftragten Verlage und Dienstleistungsunternehmen für Wahlsoftware sind </w:t>
      </w:r>
      <w:r w:rsidR="00636ADE" w:rsidRPr="00C12C4A">
        <w:rPr>
          <w:sz w:val="22"/>
        </w:rPr>
        <w:t>von den für die Beschaffung zuständigen Stellen</w:t>
      </w:r>
      <w:r w:rsidR="005E1384" w:rsidRPr="00C12C4A">
        <w:rPr>
          <w:sz w:val="22"/>
        </w:rPr>
        <w:t xml:space="preserve"> ggf.</w:t>
      </w:r>
      <w:r w:rsidRPr="00C12C4A">
        <w:rPr>
          <w:sz w:val="22"/>
        </w:rPr>
        <w:t xml:space="preserve"> besonders darauf hinzuweisen. </w:t>
      </w:r>
      <w:r w:rsidR="00353DEE" w:rsidRPr="00C12C4A">
        <w:rPr>
          <w:sz w:val="22"/>
        </w:rPr>
        <w:t>Größere Abweichungen sind im Zweifel mit der jeweiligen Rechtsaufsichtsbehörde abzustimmen.</w:t>
      </w:r>
    </w:p>
    <w:p w:rsidR="00636ADE" w:rsidRPr="00C12C4A" w:rsidRDefault="00E320D2" w:rsidP="00C12C4A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ind w:left="0" w:firstLine="0"/>
        <w:rPr>
          <w:b/>
          <w:sz w:val="22"/>
          <w:szCs w:val="22"/>
        </w:rPr>
      </w:pPr>
      <w:r w:rsidRPr="00C12C4A">
        <w:rPr>
          <w:sz w:val="22"/>
          <w:u w:val="single"/>
        </w:rPr>
        <w:t>Zuständigkeiten</w:t>
      </w:r>
      <w:r w:rsidRPr="00C12C4A">
        <w:rPr>
          <w:sz w:val="22"/>
          <w:szCs w:val="22"/>
          <w:u w:val="single"/>
        </w:rPr>
        <w:t xml:space="preserve"> für die Beschaffung</w:t>
      </w:r>
      <w:r w:rsidR="00CF3268" w:rsidRPr="00C12C4A">
        <w:rPr>
          <w:sz w:val="22"/>
          <w:szCs w:val="22"/>
          <w:u w:val="single"/>
        </w:rPr>
        <w:t>, Wiederverwendung von Umschlägen zur Briefwahl</w:t>
      </w:r>
    </w:p>
    <w:p w:rsidR="00E320D2" w:rsidRPr="00C12C4A" w:rsidRDefault="00E320D2" w:rsidP="00910D68">
      <w:pPr>
        <w:spacing w:after="120"/>
        <w:rPr>
          <w:sz w:val="22"/>
        </w:rPr>
      </w:pPr>
      <w:r w:rsidRPr="00C12C4A">
        <w:rPr>
          <w:sz w:val="22"/>
        </w:rPr>
        <w:t xml:space="preserve">Gemeinden </w:t>
      </w:r>
      <w:r w:rsidR="000851CC" w:rsidRPr="00C12C4A">
        <w:rPr>
          <w:sz w:val="22"/>
        </w:rPr>
        <w:t xml:space="preserve">bzw. Verwaltungsgemeinschaften </w:t>
      </w:r>
      <w:r w:rsidR="00353DEE" w:rsidRPr="00C12C4A">
        <w:rPr>
          <w:sz w:val="22"/>
        </w:rPr>
        <w:t xml:space="preserve">und Wahlleiter beschaffen grundsätzlich </w:t>
      </w:r>
      <w:r w:rsidR="00353DEE" w:rsidRPr="00C12C4A">
        <w:rPr>
          <w:sz w:val="22"/>
          <w:u w:val="single"/>
        </w:rPr>
        <w:t>jeweils den für sich selbst benötigten Bedarf</w:t>
      </w:r>
      <w:r w:rsidR="00353DEE" w:rsidRPr="00C12C4A">
        <w:rPr>
          <w:sz w:val="22"/>
        </w:rPr>
        <w:t>. Die Gemeinden/Verwaltungsgemeinschaften beschaffen die Vordrucke für ihre Wahl- und Briefwahlvorstände und ggf.</w:t>
      </w:r>
      <w:r w:rsidR="005E1384" w:rsidRPr="00C12C4A">
        <w:rPr>
          <w:sz w:val="22"/>
        </w:rPr>
        <w:t xml:space="preserve"> ihre Mitgliedsgemein</w:t>
      </w:r>
      <w:r w:rsidR="00353DEE" w:rsidRPr="00C12C4A">
        <w:rPr>
          <w:sz w:val="22"/>
        </w:rPr>
        <w:t>den.</w:t>
      </w:r>
      <w:r w:rsidRPr="00C12C4A">
        <w:rPr>
          <w:sz w:val="22"/>
        </w:rPr>
        <w:t xml:space="preserve"> </w:t>
      </w:r>
      <w:r w:rsidR="001348D8" w:rsidRPr="00C12C4A">
        <w:rPr>
          <w:sz w:val="22"/>
        </w:rPr>
        <w:t>Das Landratsamt oder der Kreiswahlleiter/Stimmkreisleiter kann f</w:t>
      </w:r>
      <w:r w:rsidRPr="00C12C4A">
        <w:rPr>
          <w:sz w:val="22"/>
        </w:rPr>
        <w:t xml:space="preserve">ür </w:t>
      </w:r>
      <w:r w:rsidRPr="00C12C4A">
        <w:rPr>
          <w:sz w:val="22"/>
          <w:u w:val="single"/>
        </w:rPr>
        <w:t>einheitlich zu gestaltende Unterlagen</w:t>
      </w:r>
      <w:r w:rsidRPr="00C12C4A">
        <w:rPr>
          <w:sz w:val="22"/>
        </w:rPr>
        <w:t xml:space="preserve"> in größerer Auflage (z.B. Wahlanweisungen WA1 und 2, </w:t>
      </w:r>
      <w:r w:rsidR="000851CC" w:rsidRPr="00C12C4A">
        <w:rPr>
          <w:sz w:val="22"/>
        </w:rPr>
        <w:t>Stimmzettel</w:t>
      </w:r>
      <w:r w:rsidRPr="00C12C4A">
        <w:rPr>
          <w:sz w:val="22"/>
        </w:rPr>
        <w:t>umschläge, Merkblätter für die Briefwahl</w:t>
      </w:r>
      <w:r w:rsidR="00E51F17">
        <w:rPr>
          <w:sz w:val="22"/>
        </w:rPr>
        <w:t xml:space="preserve">, </w:t>
      </w:r>
      <w:r w:rsidR="005C18A0" w:rsidRPr="0015290B">
        <w:rPr>
          <w:sz w:val="22"/>
        </w:rPr>
        <w:t>bei Landtags-/Bezirkswahlen</w:t>
      </w:r>
      <w:r w:rsidR="00C55BFF" w:rsidRPr="0015290B">
        <w:rPr>
          <w:sz w:val="22"/>
        </w:rPr>
        <w:t xml:space="preserve"> und Volksentscheiden: </w:t>
      </w:r>
      <w:r w:rsidR="00B56D4D" w:rsidRPr="0015290B">
        <w:rPr>
          <w:sz w:val="22"/>
        </w:rPr>
        <w:t>Textausgaben des Landeswahlgesetzes und de</w:t>
      </w:r>
      <w:r w:rsidR="0015290B">
        <w:rPr>
          <w:sz w:val="22"/>
        </w:rPr>
        <w:t>r Landeswahlordnung</w:t>
      </w:r>
      <w:r w:rsidR="00B56D4D" w:rsidRPr="0015290B">
        <w:rPr>
          <w:sz w:val="22"/>
        </w:rPr>
        <w:t xml:space="preserve"> </w:t>
      </w:r>
      <w:r w:rsidR="00E51F17" w:rsidRPr="0015290B">
        <w:rPr>
          <w:sz w:val="22"/>
        </w:rPr>
        <w:t>für die Auslage im Wahl-/Auszählungsraum</w:t>
      </w:r>
      <w:r w:rsidRPr="0015290B">
        <w:rPr>
          <w:sz w:val="22"/>
        </w:rPr>
        <w:t>)</w:t>
      </w:r>
      <w:r w:rsidRPr="00C12C4A">
        <w:rPr>
          <w:sz w:val="22"/>
        </w:rPr>
        <w:t xml:space="preserve"> in Absprache mit den kreisangehörigen Gemeinden zweckmäßigerweise </w:t>
      </w:r>
      <w:r w:rsidRPr="00C12C4A">
        <w:rPr>
          <w:sz w:val="22"/>
          <w:u w:val="single"/>
        </w:rPr>
        <w:t>Sammelbestellungen</w:t>
      </w:r>
      <w:r w:rsidRPr="00C12C4A">
        <w:rPr>
          <w:sz w:val="22"/>
        </w:rPr>
        <w:t xml:space="preserve"> </w:t>
      </w:r>
      <w:r w:rsidR="001348D8" w:rsidRPr="00C12C4A">
        <w:rPr>
          <w:sz w:val="22"/>
        </w:rPr>
        <w:t>übernehmen</w:t>
      </w:r>
      <w:r w:rsidRPr="00C12C4A">
        <w:rPr>
          <w:sz w:val="22"/>
        </w:rPr>
        <w:t>.</w:t>
      </w:r>
    </w:p>
    <w:p w:rsidR="00636ADE" w:rsidRPr="00C12C4A" w:rsidRDefault="00480ED6" w:rsidP="00910D68">
      <w:pPr>
        <w:spacing w:after="120"/>
        <w:rPr>
          <w:sz w:val="22"/>
        </w:rPr>
      </w:pPr>
      <w:r w:rsidRPr="00C12C4A">
        <w:rPr>
          <w:sz w:val="22"/>
        </w:rPr>
        <w:t xml:space="preserve">Die Beschaffung der </w:t>
      </w:r>
      <w:r w:rsidRPr="00C12C4A">
        <w:rPr>
          <w:sz w:val="22"/>
          <w:u w:val="single"/>
        </w:rPr>
        <w:t>Ergebnisvordrucke mit den Eindrucken</w:t>
      </w:r>
      <w:r w:rsidRPr="00C12C4A">
        <w:rPr>
          <w:sz w:val="22"/>
        </w:rPr>
        <w:t xml:space="preserve"> der Wahlvorschläge </w:t>
      </w:r>
      <w:r w:rsidR="00613645" w:rsidRPr="00C12C4A">
        <w:rPr>
          <w:sz w:val="22"/>
        </w:rPr>
        <w:t>und ggf.</w:t>
      </w:r>
      <w:r w:rsidRPr="00C12C4A">
        <w:rPr>
          <w:sz w:val="22"/>
        </w:rPr>
        <w:t xml:space="preserve"> Bewerber sollten grundsätzlich die Stimmkreisleiter</w:t>
      </w:r>
      <w:r w:rsidR="00613645" w:rsidRPr="00C12C4A">
        <w:rPr>
          <w:sz w:val="22"/>
        </w:rPr>
        <w:t xml:space="preserve"> (LTW, BezW) bzw. Kreiswahlleiter (BTW, EuW)</w:t>
      </w:r>
      <w:r w:rsidRPr="00C12C4A">
        <w:rPr>
          <w:sz w:val="22"/>
        </w:rPr>
        <w:t xml:space="preserve"> auch für die zugehörigen Gemeinden</w:t>
      </w:r>
      <w:r w:rsidR="00613645" w:rsidRPr="00C12C4A">
        <w:rPr>
          <w:sz w:val="22"/>
        </w:rPr>
        <w:t>/Verwaltungsgemeinschaften</w:t>
      </w:r>
      <w:r w:rsidRPr="00C12C4A">
        <w:rPr>
          <w:sz w:val="22"/>
        </w:rPr>
        <w:t xml:space="preserve"> übernehmen, sofern nach den jeweiligen örtlichen Verhältnissen (z.B. durch entsprechende EDV-Programme) keine dezentrale Versorgung der Gemeinden sichergestellt ist. </w:t>
      </w:r>
    </w:p>
    <w:p w:rsidR="00636ADE" w:rsidRPr="00C12C4A" w:rsidRDefault="00613645" w:rsidP="00910D68">
      <w:pPr>
        <w:spacing w:after="120"/>
        <w:rPr>
          <w:sz w:val="22"/>
        </w:rPr>
      </w:pPr>
      <w:r w:rsidRPr="00C12C4A">
        <w:rPr>
          <w:sz w:val="22"/>
          <w:szCs w:val="22"/>
        </w:rPr>
        <w:t xml:space="preserve">Die notwendigen </w:t>
      </w:r>
      <w:r w:rsidRPr="00C12C4A">
        <w:rPr>
          <w:sz w:val="22"/>
          <w:szCs w:val="22"/>
          <w:u w:val="single"/>
        </w:rPr>
        <w:t>Informationen über die Wahlvorschläge und ggf. Bewerber</w:t>
      </w:r>
      <w:r w:rsidRPr="00C12C4A">
        <w:rPr>
          <w:sz w:val="22"/>
          <w:szCs w:val="22"/>
        </w:rPr>
        <w:t xml:space="preserve"> erhalten die jeweiligen Wahlleiter bei der Bundestagswahl (Landeslisten) sowie Europawahl (Bundes- oder Landeslisten) über den Landeswahlleiter bzw. über dessen Internet-Angebot, bei der Landtags- und Bezirkswahl (Wahlkreisvorschläge) über die Wahlkreisleiter (Regierungen</w:t>
      </w:r>
      <w:r w:rsidR="00AD40EE" w:rsidRPr="00C12C4A">
        <w:rPr>
          <w:sz w:val="22"/>
          <w:szCs w:val="22"/>
        </w:rPr>
        <w:t>)</w:t>
      </w:r>
      <w:r w:rsidRPr="00C12C4A">
        <w:rPr>
          <w:sz w:val="22"/>
          <w:szCs w:val="22"/>
        </w:rPr>
        <w:t>. D</w:t>
      </w:r>
      <w:r w:rsidR="00480ED6" w:rsidRPr="00C12C4A">
        <w:rPr>
          <w:sz w:val="22"/>
        </w:rPr>
        <w:t xml:space="preserve">ie Wahlkreisleiter </w:t>
      </w:r>
      <w:r w:rsidR="00116D2C" w:rsidRPr="00C12C4A">
        <w:rPr>
          <w:sz w:val="22"/>
        </w:rPr>
        <w:t>unterrichten soweit</w:t>
      </w:r>
      <w:r w:rsidR="00480ED6" w:rsidRPr="00C12C4A">
        <w:rPr>
          <w:sz w:val="22"/>
        </w:rPr>
        <w:t xml:space="preserve"> erforderlich auch </w:t>
      </w:r>
      <w:r w:rsidR="00116D2C" w:rsidRPr="00C12C4A">
        <w:rPr>
          <w:sz w:val="22"/>
        </w:rPr>
        <w:t>die</w:t>
      </w:r>
      <w:r w:rsidR="00480ED6" w:rsidRPr="00C12C4A">
        <w:rPr>
          <w:sz w:val="22"/>
        </w:rPr>
        <w:t xml:space="preserve"> Vordruckverlage und Dienstleister</w:t>
      </w:r>
      <w:r w:rsidR="00116D2C" w:rsidRPr="00C12C4A">
        <w:rPr>
          <w:sz w:val="22"/>
        </w:rPr>
        <w:t xml:space="preserve"> für Wahlergeb</w:t>
      </w:r>
      <w:r w:rsidR="005E1384" w:rsidRPr="00C12C4A">
        <w:rPr>
          <w:sz w:val="22"/>
        </w:rPr>
        <w:t>n</w:t>
      </w:r>
      <w:r w:rsidR="00116D2C" w:rsidRPr="00C12C4A">
        <w:rPr>
          <w:sz w:val="22"/>
        </w:rPr>
        <w:t>is-Software</w:t>
      </w:r>
      <w:r w:rsidR="00480ED6" w:rsidRPr="00C12C4A">
        <w:rPr>
          <w:sz w:val="22"/>
        </w:rPr>
        <w:t>.</w:t>
      </w:r>
    </w:p>
    <w:p w:rsidR="00636ADE" w:rsidRPr="00C12C4A" w:rsidRDefault="00636ADE" w:rsidP="00910D68">
      <w:pPr>
        <w:spacing w:after="120"/>
        <w:rPr>
          <w:sz w:val="22"/>
        </w:rPr>
      </w:pPr>
      <w:r w:rsidRPr="00C12C4A">
        <w:rPr>
          <w:sz w:val="22"/>
        </w:rPr>
        <w:t xml:space="preserve">Die jeweils zuständigen Stellen sollen </w:t>
      </w:r>
      <w:r w:rsidRPr="00C12C4A">
        <w:rPr>
          <w:sz w:val="22"/>
          <w:u w:val="single"/>
        </w:rPr>
        <w:t>Unterlagen mit geringen Auflagen</w:t>
      </w:r>
      <w:r w:rsidRPr="00C12C4A">
        <w:rPr>
          <w:sz w:val="22"/>
        </w:rPr>
        <w:t xml:space="preserve"> zur Einsparung von Kosten auf Grund der bereitgestellten Muster möglichst </w:t>
      </w:r>
      <w:r w:rsidRPr="00C12C4A">
        <w:rPr>
          <w:sz w:val="22"/>
          <w:u w:val="single"/>
        </w:rPr>
        <w:t>selbst erstellen oder vervielfältigen</w:t>
      </w:r>
      <w:r w:rsidRPr="00C12C4A">
        <w:rPr>
          <w:sz w:val="22"/>
        </w:rPr>
        <w:t>. Soweit Vordrucke in den EDV-Programmen der AKDB oder entsprechender Anbieter enthalten sind (z.B. Zusammenstellung von Ergebnissen), entfällt eine gesonderte Beschaffung.</w:t>
      </w:r>
    </w:p>
    <w:p w:rsidR="00A35C2B" w:rsidRPr="00C12C4A" w:rsidRDefault="00A35C2B" w:rsidP="00910D68">
      <w:pPr>
        <w:spacing w:after="120"/>
        <w:rPr>
          <w:sz w:val="22"/>
        </w:rPr>
      </w:pPr>
      <w:r w:rsidRPr="00C12C4A">
        <w:rPr>
          <w:sz w:val="22"/>
        </w:rPr>
        <w:t xml:space="preserve">Die </w:t>
      </w:r>
      <w:r w:rsidRPr="00C12C4A">
        <w:rPr>
          <w:sz w:val="22"/>
          <w:u w:val="single"/>
        </w:rPr>
        <w:t>Wiederverwendung von Wahlbrief- und Stimmzettelumschlägen</w:t>
      </w:r>
      <w:r w:rsidRPr="00C12C4A">
        <w:rPr>
          <w:sz w:val="22"/>
        </w:rPr>
        <w:t xml:space="preserve"> </w:t>
      </w:r>
      <w:r w:rsidR="004A2FA2" w:rsidRPr="00C12C4A">
        <w:rPr>
          <w:sz w:val="22"/>
        </w:rPr>
        <w:t xml:space="preserve">von früheren Wahlen ist </w:t>
      </w:r>
      <w:r w:rsidR="001348D8" w:rsidRPr="00C12C4A">
        <w:rPr>
          <w:sz w:val="22"/>
        </w:rPr>
        <w:t xml:space="preserve">grundsätzlich zu vermeiden. Sie wäre </w:t>
      </w:r>
      <w:r w:rsidR="004A2FA2" w:rsidRPr="00C12C4A">
        <w:rPr>
          <w:sz w:val="22"/>
        </w:rPr>
        <w:t>nur dann möglich, wenn sich Größe</w:t>
      </w:r>
      <w:r w:rsidR="008A076E" w:rsidRPr="00C12C4A">
        <w:rPr>
          <w:sz w:val="22"/>
        </w:rPr>
        <w:t xml:space="preserve"> und </w:t>
      </w:r>
      <w:r w:rsidR="004A2FA2" w:rsidRPr="00C12C4A">
        <w:rPr>
          <w:sz w:val="22"/>
        </w:rPr>
        <w:t xml:space="preserve">Aufdrucke jeweils nicht unterscheiden und die Gummierung noch </w:t>
      </w:r>
      <w:r w:rsidR="008A076E" w:rsidRPr="00C12C4A">
        <w:rPr>
          <w:sz w:val="22"/>
        </w:rPr>
        <w:t>in Ordnung ist;</w:t>
      </w:r>
      <w:r w:rsidR="004A2FA2" w:rsidRPr="00C12C4A">
        <w:rPr>
          <w:sz w:val="22"/>
        </w:rPr>
        <w:t xml:space="preserve"> außerdem darf es keine </w:t>
      </w:r>
      <w:r w:rsidR="001348D8" w:rsidRPr="00C12C4A">
        <w:rPr>
          <w:sz w:val="22"/>
        </w:rPr>
        <w:lastRenderedPageBreak/>
        <w:t>äußerlich</w:t>
      </w:r>
      <w:r w:rsidR="003723F1" w:rsidRPr="00C12C4A">
        <w:rPr>
          <w:sz w:val="22"/>
        </w:rPr>
        <w:t xml:space="preserve"> erkennbaren </w:t>
      </w:r>
      <w:r w:rsidR="001348D8" w:rsidRPr="00C12C4A">
        <w:rPr>
          <w:sz w:val="22"/>
        </w:rPr>
        <w:t>Untersch</w:t>
      </w:r>
      <w:r w:rsidR="003723F1" w:rsidRPr="00C12C4A">
        <w:rPr>
          <w:sz w:val="22"/>
        </w:rPr>
        <w:t>i</w:t>
      </w:r>
      <w:r w:rsidR="001348D8" w:rsidRPr="00C12C4A">
        <w:rPr>
          <w:sz w:val="22"/>
        </w:rPr>
        <w:t xml:space="preserve">ede (Farbe, Papier) </w:t>
      </w:r>
      <w:r w:rsidR="004A2FA2" w:rsidRPr="00C12C4A">
        <w:rPr>
          <w:sz w:val="22"/>
        </w:rPr>
        <w:t xml:space="preserve">bei den Stimmzettelumschlägen </w:t>
      </w:r>
      <w:r w:rsidR="008A076E" w:rsidRPr="00C12C4A">
        <w:rPr>
          <w:sz w:val="22"/>
        </w:rPr>
        <w:t xml:space="preserve">innerhalb eines Briefwahlvorstands </w:t>
      </w:r>
      <w:r w:rsidR="004A2FA2" w:rsidRPr="00C12C4A">
        <w:rPr>
          <w:sz w:val="22"/>
        </w:rPr>
        <w:t>geben.</w:t>
      </w:r>
    </w:p>
    <w:p w:rsidR="00636ADE" w:rsidRPr="00C12C4A" w:rsidRDefault="00480ED6" w:rsidP="00C12C4A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ind w:left="0" w:firstLine="0"/>
        <w:rPr>
          <w:sz w:val="22"/>
          <w:szCs w:val="22"/>
          <w:u w:val="single"/>
        </w:rPr>
      </w:pPr>
      <w:r w:rsidRPr="00C12C4A">
        <w:rPr>
          <w:sz w:val="22"/>
          <w:szCs w:val="22"/>
          <w:u w:val="single"/>
        </w:rPr>
        <w:t>Mengen</w:t>
      </w:r>
    </w:p>
    <w:p w:rsidR="00480ED6" w:rsidRPr="00C12C4A" w:rsidRDefault="00480ED6" w:rsidP="00910D68">
      <w:pPr>
        <w:spacing w:after="120"/>
        <w:rPr>
          <w:sz w:val="22"/>
        </w:rPr>
      </w:pPr>
      <w:r w:rsidRPr="00C12C4A">
        <w:rPr>
          <w:sz w:val="22"/>
        </w:rPr>
        <w:t xml:space="preserve">Die Übersicht enthält nur den </w:t>
      </w:r>
      <w:r w:rsidR="00636ADE" w:rsidRPr="00C12C4A">
        <w:rPr>
          <w:sz w:val="22"/>
        </w:rPr>
        <w:t>vom StMI</w:t>
      </w:r>
      <w:r w:rsidRPr="00C12C4A">
        <w:rPr>
          <w:sz w:val="22"/>
        </w:rPr>
        <w:t xml:space="preserve"> angenommenen bzw. den durch die Wahlvorschriften vorgesehenen </w:t>
      </w:r>
      <w:r w:rsidRPr="00C12C4A">
        <w:rPr>
          <w:sz w:val="22"/>
          <w:u w:val="single"/>
        </w:rPr>
        <w:t>Grundbedarf</w:t>
      </w:r>
      <w:r w:rsidRPr="00C12C4A">
        <w:rPr>
          <w:sz w:val="22"/>
        </w:rPr>
        <w:t xml:space="preserve">. Die jeweiligen Stellen haben selbst zu prüfen und bei der Bestellung zu berücksichtigen, welcher Bedarf bei ihnen auf Grund örtlicher Besonderheiten im Einzelnen notwendig ist. Dies gilt insbesondere für die </w:t>
      </w:r>
      <w:r w:rsidRPr="00C12C4A">
        <w:rPr>
          <w:sz w:val="22"/>
          <w:u w:val="single"/>
        </w:rPr>
        <w:t>Briefwahlunterlagen</w:t>
      </w:r>
      <w:r w:rsidR="00A35C2B" w:rsidRPr="00C12C4A">
        <w:rPr>
          <w:sz w:val="22"/>
        </w:rPr>
        <w:t>; hier ist der</w:t>
      </w:r>
      <w:r w:rsidR="008A076E" w:rsidRPr="00C12C4A">
        <w:rPr>
          <w:sz w:val="22"/>
        </w:rPr>
        <w:t xml:space="preserve"> zuletzt</w:t>
      </w:r>
      <w:r w:rsidR="00A35C2B" w:rsidRPr="00C12C4A">
        <w:rPr>
          <w:sz w:val="22"/>
        </w:rPr>
        <w:t xml:space="preserve"> i.d.R. </w:t>
      </w:r>
      <w:r w:rsidR="00A35C2B" w:rsidRPr="00C12C4A">
        <w:rPr>
          <w:sz w:val="22"/>
          <w:u w:val="single"/>
        </w:rPr>
        <w:t>hohe Anteil der Briefwähler</w:t>
      </w:r>
      <w:r w:rsidR="00A35C2B" w:rsidRPr="00C12C4A">
        <w:rPr>
          <w:sz w:val="22"/>
        </w:rPr>
        <w:t xml:space="preserve"> zu berücksichtigen</w:t>
      </w:r>
      <w:r w:rsidRPr="00C12C4A">
        <w:rPr>
          <w:sz w:val="22"/>
        </w:rPr>
        <w:t>.</w:t>
      </w:r>
      <w:r w:rsidR="003723F1" w:rsidRPr="00C12C4A">
        <w:rPr>
          <w:sz w:val="22"/>
        </w:rPr>
        <w:t xml:space="preserve"> Bei Sammelbestellungen sollte eine </w:t>
      </w:r>
      <w:r w:rsidR="003723F1" w:rsidRPr="00C12C4A">
        <w:rPr>
          <w:sz w:val="22"/>
          <w:u w:val="single"/>
        </w:rPr>
        <w:t>Reserve</w:t>
      </w:r>
      <w:r w:rsidR="003723F1" w:rsidRPr="00C12C4A">
        <w:rPr>
          <w:sz w:val="22"/>
        </w:rPr>
        <w:t xml:space="preserve"> bei der bestellenden Stelle vorgehalten werden.</w:t>
      </w:r>
    </w:p>
    <w:p w:rsidR="00636ADE" w:rsidRPr="00C12C4A" w:rsidRDefault="00480ED6" w:rsidP="00C12C4A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ind w:left="0" w:firstLine="0"/>
        <w:rPr>
          <w:sz w:val="22"/>
          <w:szCs w:val="22"/>
          <w:u w:val="single"/>
        </w:rPr>
      </w:pPr>
      <w:r w:rsidRPr="00C12C4A">
        <w:rPr>
          <w:sz w:val="22"/>
          <w:szCs w:val="22"/>
          <w:u w:val="single"/>
        </w:rPr>
        <w:t>Kosten</w:t>
      </w:r>
    </w:p>
    <w:p w:rsidR="00FB3C78" w:rsidRPr="00C12C4A" w:rsidRDefault="00480ED6" w:rsidP="00910D68">
      <w:pPr>
        <w:spacing w:after="120"/>
        <w:rPr>
          <w:sz w:val="22"/>
        </w:rPr>
      </w:pPr>
      <w:r w:rsidRPr="00C12C4A">
        <w:rPr>
          <w:sz w:val="22"/>
        </w:rPr>
        <w:t>Jede Stelle trägt die Kosten der bei ihr benötigten Vordrucke (außer Stimmzettel) zunächst selbst, die Gemeinden</w:t>
      </w:r>
      <w:r w:rsidR="00542A85" w:rsidRPr="00C12C4A">
        <w:rPr>
          <w:sz w:val="22"/>
        </w:rPr>
        <w:t>/Verwaltungsgemeinschaften</w:t>
      </w:r>
      <w:r w:rsidRPr="00C12C4A">
        <w:rPr>
          <w:sz w:val="22"/>
        </w:rPr>
        <w:t xml:space="preserve"> auch, soweit die Bestellung bzw. Beschaffung vom </w:t>
      </w:r>
      <w:r w:rsidR="00542A85" w:rsidRPr="00C12C4A">
        <w:rPr>
          <w:sz w:val="22"/>
        </w:rPr>
        <w:t xml:space="preserve">Landratsamt bzw. </w:t>
      </w:r>
      <w:r w:rsidRPr="00C12C4A">
        <w:rPr>
          <w:sz w:val="22"/>
        </w:rPr>
        <w:t>Stimmkreisleiter</w:t>
      </w:r>
      <w:r w:rsidR="00542A85" w:rsidRPr="00C12C4A">
        <w:rPr>
          <w:sz w:val="22"/>
        </w:rPr>
        <w:t xml:space="preserve">/Kreiswahlleiter </w:t>
      </w:r>
      <w:r w:rsidRPr="00C12C4A">
        <w:rPr>
          <w:sz w:val="22"/>
        </w:rPr>
        <w:t xml:space="preserve">übernommen wird. </w:t>
      </w:r>
      <w:r w:rsidR="00542A85" w:rsidRPr="00C12C4A">
        <w:rPr>
          <w:sz w:val="22"/>
        </w:rPr>
        <w:t xml:space="preserve">In diesen Fällen </w:t>
      </w:r>
      <w:r w:rsidRPr="00C12C4A">
        <w:rPr>
          <w:sz w:val="22"/>
        </w:rPr>
        <w:t xml:space="preserve">wird zur Vermeidung aufwändiger interner Kostenabrechnungen zwischen </w:t>
      </w:r>
      <w:r w:rsidR="00FB3C78" w:rsidRPr="00C12C4A">
        <w:rPr>
          <w:sz w:val="22"/>
        </w:rPr>
        <w:t xml:space="preserve">den </w:t>
      </w:r>
      <w:r w:rsidR="00522AA1" w:rsidRPr="00C12C4A">
        <w:rPr>
          <w:sz w:val="22"/>
        </w:rPr>
        <w:t xml:space="preserve">Gemeinden und den beschaffenden Stellen </w:t>
      </w:r>
      <w:r w:rsidRPr="00C12C4A">
        <w:rPr>
          <w:sz w:val="22"/>
        </w:rPr>
        <w:t xml:space="preserve">empfohlen, dass die Gemeinden ggf. die von ihnen benötigten Unterlagen möglichst direkt mit den beauftragten Verlagen abrechnen. </w:t>
      </w:r>
    </w:p>
    <w:p w:rsidR="00480ED6" w:rsidRPr="00C12C4A" w:rsidRDefault="00480ED6" w:rsidP="00910D68">
      <w:pPr>
        <w:spacing w:after="120"/>
        <w:rPr>
          <w:sz w:val="22"/>
        </w:rPr>
      </w:pPr>
      <w:r w:rsidRPr="00C12C4A">
        <w:rPr>
          <w:sz w:val="22"/>
        </w:rPr>
        <w:t>Bei Beschaffung von Ergebnisvordrucken durch die Stimmkreisleiter</w:t>
      </w:r>
      <w:r w:rsidR="00FB3C78" w:rsidRPr="00C12C4A">
        <w:rPr>
          <w:sz w:val="22"/>
        </w:rPr>
        <w:t>/Kreiswahlleiter</w:t>
      </w:r>
      <w:r w:rsidRPr="00C12C4A">
        <w:rPr>
          <w:sz w:val="22"/>
        </w:rPr>
        <w:t xml:space="preserve"> für die Gemein</w:t>
      </w:r>
      <w:r w:rsidR="00FB3C78" w:rsidRPr="00C12C4A">
        <w:rPr>
          <w:sz w:val="22"/>
        </w:rPr>
        <w:t>den oder für die Landratsämter (</w:t>
      </w:r>
      <w:r w:rsidR="00522AA1" w:rsidRPr="00C12C4A">
        <w:rPr>
          <w:sz w:val="22"/>
        </w:rPr>
        <w:t xml:space="preserve">bei der </w:t>
      </w:r>
      <w:r w:rsidR="00FB3C78" w:rsidRPr="00C12C4A">
        <w:rPr>
          <w:sz w:val="22"/>
        </w:rPr>
        <w:t xml:space="preserve">Bundestagswahl) </w:t>
      </w:r>
      <w:r w:rsidRPr="00C12C4A">
        <w:rPr>
          <w:sz w:val="22"/>
        </w:rPr>
        <w:t xml:space="preserve">haben sich </w:t>
      </w:r>
      <w:r w:rsidR="00FB3C78" w:rsidRPr="00C12C4A">
        <w:rPr>
          <w:sz w:val="22"/>
        </w:rPr>
        <w:t>Wahlleiter</w:t>
      </w:r>
      <w:r w:rsidRPr="00C12C4A">
        <w:rPr>
          <w:sz w:val="22"/>
        </w:rPr>
        <w:t xml:space="preserve"> die ggf. anfallenden Kosten von den Gemeinden</w:t>
      </w:r>
      <w:r w:rsidR="00FB3C78" w:rsidRPr="00C12C4A">
        <w:rPr>
          <w:sz w:val="22"/>
        </w:rPr>
        <w:t>/Verwaltungsgemeinschaften bzw. Landr</w:t>
      </w:r>
      <w:r w:rsidR="00522AA1" w:rsidRPr="00C12C4A">
        <w:rPr>
          <w:sz w:val="22"/>
        </w:rPr>
        <w:t>a</w:t>
      </w:r>
      <w:r w:rsidR="00FB3C78" w:rsidRPr="00C12C4A">
        <w:rPr>
          <w:sz w:val="22"/>
        </w:rPr>
        <w:t>tsämter</w:t>
      </w:r>
      <w:r w:rsidR="00522AA1" w:rsidRPr="00C12C4A">
        <w:rPr>
          <w:sz w:val="22"/>
        </w:rPr>
        <w:t>n</w:t>
      </w:r>
      <w:r w:rsidRPr="00C12C4A">
        <w:rPr>
          <w:sz w:val="22"/>
        </w:rPr>
        <w:t xml:space="preserve"> erstatten zu lassen.</w:t>
      </w:r>
    </w:p>
    <w:p w:rsidR="00CF3268" w:rsidRPr="00C12C4A" w:rsidRDefault="00CF3268" w:rsidP="00910D68">
      <w:pPr>
        <w:spacing w:after="120"/>
        <w:rPr>
          <w:sz w:val="22"/>
        </w:rPr>
      </w:pPr>
      <w:r w:rsidRPr="00C12C4A">
        <w:rPr>
          <w:sz w:val="22"/>
        </w:rPr>
        <w:t xml:space="preserve">Die Kosten der notwendigen Wahlunterlagen werden im Rahmen der </w:t>
      </w:r>
      <w:r w:rsidR="008A1659" w:rsidRPr="00C12C4A">
        <w:rPr>
          <w:sz w:val="22"/>
        </w:rPr>
        <w:t>E</w:t>
      </w:r>
      <w:r w:rsidRPr="00C12C4A">
        <w:rPr>
          <w:sz w:val="22"/>
        </w:rPr>
        <w:t xml:space="preserve">rstattung </w:t>
      </w:r>
      <w:r w:rsidR="008A1659" w:rsidRPr="00C12C4A">
        <w:rPr>
          <w:sz w:val="22"/>
        </w:rPr>
        <w:t>der Wahlkosten durch eine</w:t>
      </w:r>
      <w:r w:rsidR="00B217F9">
        <w:rPr>
          <w:sz w:val="22"/>
        </w:rPr>
        <w:t>n</w:t>
      </w:r>
      <w:r w:rsidR="008A1659" w:rsidRPr="00C12C4A">
        <w:rPr>
          <w:sz w:val="22"/>
        </w:rPr>
        <w:t xml:space="preserve"> </w:t>
      </w:r>
      <w:r w:rsidR="008A1659" w:rsidRPr="00B217F9">
        <w:rPr>
          <w:sz w:val="22"/>
          <w:u w:val="single"/>
        </w:rPr>
        <w:t>pauschalen</w:t>
      </w:r>
      <w:r w:rsidR="008A1659" w:rsidRPr="00C12C4A">
        <w:rPr>
          <w:sz w:val="22"/>
        </w:rPr>
        <w:t xml:space="preserve"> Betrag je Wahlberechtigten („Restkostenpauschale“) den Gemeinden bzw. Kreiswahlleitern und Stimmkreisleitern </w:t>
      </w:r>
      <w:r w:rsidR="00AA51BC" w:rsidRPr="00C12C4A">
        <w:rPr>
          <w:sz w:val="22"/>
        </w:rPr>
        <w:t>erstattet (Art. 17 Abs. 1, 2 LWG, §</w:t>
      </w:r>
      <w:r w:rsidR="00B217F9">
        <w:rPr>
          <w:sz w:val="22"/>
        </w:rPr>
        <w:t> </w:t>
      </w:r>
      <w:r w:rsidR="00AA51BC" w:rsidRPr="00C12C4A">
        <w:rPr>
          <w:sz w:val="22"/>
        </w:rPr>
        <w:t>50 Abs. 1, 3 BWG).</w:t>
      </w:r>
    </w:p>
    <w:sectPr w:rsidR="00CF3268" w:rsidRPr="00C12C4A" w:rsidSect="00910D68">
      <w:headerReference w:type="default" r:id="rId7"/>
      <w:footerReference w:type="default" r:id="rId8"/>
      <w:pgSz w:w="11906" w:h="16838"/>
      <w:pgMar w:top="1418" w:right="1416" w:bottom="851" w:left="1417" w:header="56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1D" w:rsidRDefault="009E481D" w:rsidP="00522AA1">
      <w:pPr>
        <w:spacing w:after="0" w:line="240" w:lineRule="auto"/>
      </w:pPr>
      <w:r>
        <w:separator/>
      </w:r>
    </w:p>
  </w:endnote>
  <w:endnote w:type="continuationSeparator" w:id="0">
    <w:p w:rsidR="009E481D" w:rsidRDefault="009E481D" w:rsidP="0052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84" w:rsidRDefault="00724384" w:rsidP="0072438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1D" w:rsidRDefault="009E481D" w:rsidP="00522AA1">
      <w:pPr>
        <w:spacing w:after="0" w:line="240" w:lineRule="auto"/>
      </w:pPr>
      <w:r>
        <w:separator/>
      </w:r>
    </w:p>
  </w:footnote>
  <w:footnote w:type="continuationSeparator" w:id="0">
    <w:p w:rsidR="009E481D" w:rsidRDefault="009E481D" w:rsidP="0052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A1" w:rsidRPr="00A25506" w:rsidRDefault="00522AA1" w:rsidP="00CF3268">
    <w:pPr>
      <w:pStyle w:val="Kopfzeile"/>
      <w:ind w:left="-567"/>
      <w:rPr>
        <w:b/>
        <w:sz w:val="22"/>
      </w:rPr>
    </w:pPr>
    <w:r w:rsidRPr="00A25506">
      <w:rPr>
        <w:b/>
        <w:sz w:val="22"/>
      </w:rPr>
      <w:t>Bayerisches Staatsministerium des Innern</w:t>
    </w:r>
    <w:r w:rsidR="00E51F17">
      <w:rPr>
        <w:b/>
        <w:sz w:val="22"/>
      </w:rPr>
      <w:t xml:space="preserve">, für Sport </w:t>
    </w:r>
    <w:r w:rsidRPr="00A25506">
      <w:rPr>
        <w:b/>
        <w:sz w:val="22"/>
      </w:rPr>
      <w:t xml:space="preserve">und Integration </w:t>
    </w:r>
    <w:r w:rsidR="003723F1" w:rsidRPr="00A25506">
      <w:rPr>
        <w:b/>
        <w:sz w:val="22"/>
      </w:rPr>
      <w:tab/>
    </w:r>
    <w:r w:rsidR="003723F1" w:rsidRPr="00A25506">
      <w:rPr>
        <w:sz w:val="22"/>
      </w:rPr>
      <w:t xml:space="preserve">Stand </w:t>
    </w:r>
    <w:r w:rsidR="006D417A" w:rsidRPr="0015290B">
      <w:rPr>
        <w:sz w:val="22"/>
      </w:rPr>
      <w:t>6</w:t>
    </w:r>
    <w:r w:rsidR="003723F1" w:rsidRPr="0015290B">
      <w:rPr>
        <w:sz w:val="22"/>
      </w:rPr>
      <w:t>/20</w:t>
    </w:r>
    <w:r w:rsidR="00E51F17" w:rsidRPr="0015290B">
      <w:rPr>
        <w:sz w:val="22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1EDF"/>
    <w:multiLevelType w:val="hybridMultilevel"/>
    <w:tmpl w:val="03508C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D2"/>
    <w:rsid w:val="00072EC4"/>
    <w:rsid w:val="000851CC"/>
    <w:rsid w:val="00116D2C"/>
    <w:rsid w:val="001348D8"/>
    <w:rsid w:val="0015290B"/>
    <w:rsid w:val="00185ABE"/>
    <w:rsid w:val="00194C70"/>
    <w:rsid w:val="00326736"/>
    <w:rsid w:val="00336638"/>
    <w:rsid w:val="00353DEE"/>
    <w:rsid w:val="00365802"/>
    <w:rsid w:val="003723F1"/>
    <w:rsid w:val="003D5107"/>
    <w:rsid w:val="00461C96"/>
    <w:rsid w:val="00480ED6"/>
    <w:rsid w:val="004A2FA2"/>
    <w:rsid w:val="004B79BF"/>
    <w:rsid w:val="00522AA1"/>
    <w:rsid w:val="00542A85"/>
    <w:rsid w:val="005B57A2"/>
    <w:rsid w:val="005C18A0"/>
    <w:rsid w:val="005E1384"/>
    <w:rsid w:val="005F5931"/>
    <w:rsid w:val="00613645"/>
    <w:rsid w:val="00636ADE"/>
    <w:rsid w:val="006D417A"/>
    <w:rsid w:val="006F7E5F"/>
    <w:rsid w:val="00724384"/>
    <w:rsid w:val="00766159"/>
    <w:rsid w:val="007925A0"/>
    <w:rsid w:val="008A076E"/>
    <w:rsid w:val="008A1659"/>
    <w:rsid w:val="00910D68"/>
    <w:rsid w:val="009E13B6"/>
    <w:rsid w:val="009E481D"/>
    <w:rsid w:val="009E4F2B"/>
    <w:rsid w:val="00A25506"/>
    <w:rsid w:val="00A35C2B"/>
    <w:rsid w:val="00AA51BC"/>
    <w:rsid w:val="00AD40EE"/>
    <w:rsid w:val="00B16311"/>
    <w:rsid w:val="00B217F9"/>
    <w:rsid w:val="00B56053"/>
    <w:rsid w:val="00B56D4D"/>
    <w:rsid w:val="00B75145"/>
    <w:rsid w:val="00C12C4A"/>
    <w:rsid w:val="00C55BFF"/>
    <w:rsid w:val="00CD56BA"/>
    <w:rsid w:val="00CF3268"/>
    <w:rsid w:val="00E320D2"/>
    <w:rsid w:val="00E51F17"/>
    <w:rsid w:val="00E62E16"/>
    <w:rsid w:val="00F3448E"/>
    <w:rsid w:val="00F71FD1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923E3"/>
  <w15:docId w15:val="{64FCCD4E-8C0D-4C75-8111-D3B67037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320D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22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AA1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2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AA1"/>
    <w:rPr>
      <w:lang w:eastAsia="de-DE"/>
    </w:rPr>
  </w:style>
  <w:style w:type="paragraph" w:styleId="Listenabsatz">
    <w:name w:val="List Paragraph"/>
    <w:basedOn w:val="Standard"/>
    <w:uiPriority w:val="34"/>
    <w:qFormat/>
    <w:rsid w:val="00185A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802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6D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6D4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6D4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6D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6D4D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4225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Groß, Roland (StMI)</dc:creator>
  <cp:lastModifiedBy>Rohrmüller, Veronika (StMI)</cp:lastModifiedBy>
  <cp:revision>2</cp:revision>
  <cp:lastPrinted>2018-07-06T15:40:00Z</cp:lastPrinted>
  <dcterms:created xsi:type="dcterms:W3CDTF">2023-06-29T07:05:00Z</dcterms:created>
  <dcterms:modified xsi:type="dcterms:W3CDTF">2023-06-29T07:05:00Z</dcterms:modified>
</cp:coreProperties>
</file>